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81A" w:rsidRPr="003C5F61" w:rsidRDefault="00F7683D">
      <w:pPr>
        <w:spacing w:after="60"/>
        <w:jc w:val="center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b/>
          <w:bCs/>
          <w:color w:val="1F4E79"/>
          <w:sz w:val="32"/>
          <w:szCs w:val="32"/>
          <w:lang w:val="it-IT"/>
        </w:rPr>
        <w:t>RELAZIONE SULLA PASTORALE GIOVANILE DEL CVS</w:t>
      </w:r>
    </w:p>
    <w:p w:rsidR="0038481A" w:rsidRPr="003C5F61" w:rsidRDefault="00F7683D">
      <w:pPr>
        <w:spacing w:after="300"/>
        <w:jc w:val="center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i/>
          <w:iCs/>
          <w:color w:val="595959"/>
          <w:lang w:val="it-IT"/>
        </w:rPr>
        <w:t>Centro Volontari della Sofferenza — Anno pastorale 2026</w:t>
      </w:r>
    </w:p>
    <w:p w:rsidR="0038481A" w:rsidRPr="003C5F61" w:rsidRDefault="00F7683D">
      <w:pPr>
        <w:spacing w:after="200" w:line="320" w:lineRule="auto"/>
        <w:jc w:val="both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La pastorale giovanile del Centro Volontari della Sofferenza vive quest'anno una stagione di consolidamento e di rilancio. Accanto ai frutti già raccolti, emergono con chiarezza alcune sfide che chiedono discernimento e cura, nello spirito del carisma novarese che ci invita a farci compagni di strada dei giovani, specialmente là dove la fatica e la fragilità si fanno sentire. Questa relazione raccoglie quattro ambiti prioritari su cui orientare il lavoro pastorale del prossimo periodo.</w:t>
      </w:r>
    </w:p>
    <w:p w:rsidR="0038481A" w:rsidRPr="003C5F61" w:rsidRDefault="00F7683D">
      <w:pPr>
        <w:pStyle w:val="Titre1"/>
        <w:pBdr>
          <w:bottom w:val="single" w:sz="6" w:space="4" w:color="1F4E79"/>
        </w:pBdr>
        <w:spacing w:before="320" w:after="160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b/>
          <w:bCs/>
          <w:color w:val="1F4E79"/>
          <w:sz w:val="27"/>
          <w:szCs w:val="27"/>
          <w:lang w:val="it-IT"/>
        </w:rPr>
        <w:t>1. Il gruppo di pastorale giovanile: consolidare lo stile di lavoro</w:t>
      </w:r>
    </w:p>
    <w:p w:rsidR="0038481A" w:rsidRPr="003C5F61" w:rsidRDefault="00F7683D">
      <w:pPr>
        <w:spacing w:after="200" w:line="320" w:lineRule="auto"/>
        <w:jc w:val="both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È stato costituito il gruppo di pastorale giovanile del CVS, un primo e significativo passo verso una presenza più strutturata e continuativa accanto ai giovani. Questo risultato va custodito e fatto crescere. Emerge tuttavia la necessità di migliorare lo stile di lavoro del gruppo: non basta l'entusiasmo iniziale, occorre costruire metodo, corresponsabilità e regolarità negli incontri.</w:t>
      </w:r>
    </w:p>
    <w:p w:rsidR="0038481A" w:rsidRPr="003C5F61" w:rsidRDefault="00F7683D">
      <w:pPr>
        <w:spacing w:after="200" w:line="320" w:lineRule="auto"/>
        <w:jc w:val="both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Un'attenzione particolare va riservata ai responsabili che incontrano maggiori difficoltà nel portare avanti il proprio compito. Più che correggere o sostituire, la strada da percorrere è quella dell'incoraggiamento: affiancare chi fa fatica, valorizzare i piccoli passi, offrire strumenti concreti e un accompagnamento personale che li aiuti a ritrovare fiducia nel proprio ruolo. Un gruppo che sostiene i suoi stessi responsabili sarà un gruppo capace, a sua volta, di sostenere i giovani.</w:t>
      </w:r>
    </w:p>
    <w:p w:rsidR="0038481A" w:rsidRPr="003C5F61" w:rsidRDefault="00F7683D">
      <w:pPr>
        <w:pBdr>
          <w:top w:val="single" w:sz="8" w:space="6" w:color="8A6D3B"/>
          <w:left w:val="single" w:sz="8" w:space="6" w:color="8A6D3B"/>
          <w:bottom w:val="single" w:sz="8" w:space="6" w:color="8A6D3B"/>
          <w:right w:val="single" w:sz="8" w:space="6" w:color="8A6D3B"/>
        </w:pBdr>
        <w:shd w:val="clear" w:color="auto" w:fill="F2EEE3"/>
        <w:spacing w:before="200" w:after="200" w:line="300" w:lineRule="auto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b/>
          <w:bCs/>
          <w:i/>
          <w:iCs/>
          <w:color w:val="8A6D3B"/>
          <w:sz w:val="21"/>
          <w:szCs w:val="21"/>
          <w:lang w:val="it-IT"/>
        </w:rPr>
        <w:t xml:space="preserve">Carisma Novarese — </w:t>
      </w:r>
      <w:r w:rsidRPr="003C5F61">
        <w:rPr>
          <w:rFonts w:ascii="Palatino Linotype" w:eastAsia="Palatino Linotype" w:hAnsi="Palatino Linotype" w:cs="Palatino Linotype"/>
          <w:i/>
          <w:iCs/>
          <w:color w:val="8A6D3B"/>
          <w:sz w:val="21"/>
          <w:szCs w:val="21"/>
          <w:lang w:val="it-IT"/>
        </w:rPr>
        <w:t>sostenere chi è nella fatica, prima ancora che nel compito, è la forma più autentica di apostolato: farsi prossimi ai propri collaboratori come ai sofferenti.</w:t>
      </w:r>
    </w:p>
    <w:p w:rsidR="0038481A" w:rsidRPr="003C5F61" w:rsidRDefault="00F7683D">
      <w:pPr>
        <w:pStyle w:val="Titre1"/>
        <w:pBdr>
          <w:bottom w:val="single" w:sz="6" w:space="4" w:color="1F4E79"/>
        </w:pBdr>
        <w:spacing w:before="320" w:after="160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b/>
          <w:bCs/>
          <w:color w:val="1F4E79"/>
          <w:sz w:val="27"/>
          <w:szCs w:val="27"/>
          <w:lang w:val="it-IT"/>
        </w:rPr>
        <w:t>2. Il Capodanno a Re: uno sguardo sempre attuale</w:t>
      </w:r>
    </w:p>
    <w:p w:rsidR="0038481A" w:rsidRPr="003C5F61" w:rsidRDefault="00F7683D">
      <w:pPr>
        <w:spacing w:after="200" w:line="320" w:lineRule="auto"/>
        <w:jc w:val="both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L'esperienza del Capodanno a Re continua a rappresentare un appuntamento vivo e in cammino, capace di intercettare i giovani con linguaggi e tematiche sempre attuali. Anche quest'anno l'iniziativa non si è fermata a schemi ripetitivi, ma ha saputo rinnovarsi nel dialogo con le domande reali che i giovani si portano dentro.</w:t>
      </w:r>
    </w:p>
    <w:p w:rsidR="0038481A" w:rsidRPr="003C5F61" w:rsidRDefault="00F7683D">
      <w:pPr>
        <w:spacing w:after="200" w:line="320" w:lineRule="auto"/>
        <w:jc w:val="both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Per la prossima edizione si intende porre un accento particolare sul mondo digitale: un ambito che plasma profondamente la vita, le relazioni e persino la fede dei giovani di oggi, e che merita di essere affrontato non con toni allarmistici ma con uno sguardo pastorale capace di discernimento, offrendo criteri per abitare la rete in modo umano e cristiano.</w:t>
      </w:r>
    </w:p>
    <w:p w:rsidR="003C5F61" w:rsidRDefault="003C5F61">
      <w:pPr>
        <w:pStyle w:val="Titre1"/>
        <w:pBdr>
          <w:bottom w:val="single" w:sz="6" w:space="4" w:color="1F4E79"/>
        </w:pBdr>
        <w:spacing w:before="320" w:after="160"/>
        <w:rPr>
          <w:rFonts w:ascii="Palatino Linotype" w:eastAsia="Palatino Linotype" w:hAnsi="Palatino Linotype" w:cs="Palatino Linotype"/>
          <w:b/>
          <w:bCs/>
          <w:color w:val="1F4E79"/>
          <w:sz w:val="27"/>
          <w:szCs w:val="27"/>
          <w:lang w:val="it-IT"/>
        </w:rPr>
      </w:pPr>
    </w:p>
    <w:p w:rsidR="0038481A" w:rsidRPr="003C5F61" w:rsidRDefault="00F7683D">
      <w:pPr>
        <w:pStyle w:val="Titre1"/>
        <w:pBdr>
          <w:bottom w:val="single" w:sz="6" w:space="4" w:color="1F4E79"/>
        </w:pBdr>
        <w:spacing w:before="320" w:after="160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b/>
          <w:bCs/>
          <w:color w:val="1F4E79"/>
          <w:sz w:val="27"/>
          <w:szCs w:val="27"/>
          <w:lang w:val="it-IT"/>
        </w:rPr>
        <w:lastRenderedPageBreak/>
        <w:t>3. I centri estivi come campo di apostolato</w:t>
      </w:r>
    </w:p>
    <w:p w:rsidR="0038481A" w:rsidRPr="003C5F61" w:rsidRDefault="00F7683D">
      <w:pPr>
        <w:spacing w:after="200" w:line="320" w:lineRule="auto"/>
        <w:jc w:val="both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I centri estivi si confermano un terreno privilegiato di apostolato, non solo per i ragazzi che vi partecipano ma, in modo particolare, per gli animatori che vi si mettono in gioco. L'esperienza estiva chiede loro responsabilità, creatività e capacità di servizio: proprio per questo può diventare una buona sfida educativa e vocazionale.</w:t>
      </w:r>
    </w:p>
    <w:p w:rsidR="0038481A" w:rsidRPr="003C5F61" w:rsidRDefault="00F7683D">
      <w:pPr>
        <w:spacing w:after="200" w:line="320" w:lineRule="auto"/>
        <w:jc w:val="both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Accompagnare gli animatori a vivere il centro estivo come tempo di crescita personale e di autentico servizio, e non come semplice attività organizzativa, permette di trasformare questa esperienza in un vero cammino di fede e in un'occasione di scoperta dei propri doni al servizio degli altri.</w:t>
      </w:r>
    </w:p>
    <w:p w:rsidR="0038481A" w:rsidRPr="003C5F61" w:rsidRDefault="00F7683D">
      <w:pPr>
        <w:pStyle w:val="Titre1"/>
        <w:pBdr>
          <w:bottom w:val="single" w:sz="6" w:space="4" w:color="1F4E79"/>
        </w:pBdr>
        <w:spacing w:before="320" w:after="160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b/>
          <w:bCs/>
          <w:color w:val="1F4E79"/>
          <w:sz w:val="27"/>
          <w:szCs w:val="27"/>
          <w:lang w:val="it-IT"/>
        </w:rPr>
        <w:t>4. La Giornata Mondiale della Gioventù a Seoul</w:t>
      </w:r>
    </w:p>
    <w:p w:rsidR="0038481A" w:rsidRPr="003C5F61" w:rsidRDefault="00F7683D">
      <w:pPr>
        <w:spacing w:after="200" w:line="320" w:lineRule="auto"/>
        <w:jc w:val="both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Un ulteriore orizzonte che si apre alla pastorale giovanile del CVS è rappresentato dalla prossima Giornata Mondiale della Gioventù, che si terrà a Seoul. Si sta valutando l'idea di inviare un gruppo rappresentativo che possa vivere questa esperienza internazionale a nome di tutta la nostra realtà, portando con sé, nell'incontro con i giovani di tutto il mondo, lo spirito e il carisma novarese.</w:t>
      </w:r>
    </w:p>
    <w:p w:rsidR="0038481A" w:rsidRPr="003C5F61" w:rsidRDefault="00F7683D">
      <w:pPr>
        <w:spacing w:after="200" w:line="320" w:lineRule="auto"/>
        <w:jc w:val="both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Per il gruppo più numeroso, che non potrà raggiungere la Corea, si pensa di proporre un cammino parallelo qui in Italia, articolato in due percorsi verso due luoghi particolarmente significativi: Assisi e Valleluogo. Questi itinerari saranno l'occasione per mettere al centro le figure di Carlo Acutis, Angiolino Bonetta e Giuno Tinarelli: giovani la cui vita testimonia, con un linguaggio vicino ai ragazzi di oggi, che la santità è possibile anche nella quotidianità della giovinezza. Attraverso le loro storie si intende dare voce ai nostri ragazzi, offrendo loro modelli credibili e vicini alla loro età e alla loro esperienza.</w:t>
      </w:r>
    </w:p>
    <w:p w:rsidR="0038481A" w:rsidRPr="003C5F61" w:rsidRDefault="00F7683D">
      <w:pPr>
        <w:pStyle w:val="Titre1"/>
        <w:pBdr>
          <w:bottom w:val="single" w:sz="6" w:space="4" w:color="1F4E79"/>
        </w:pBdr>
        <w:spacing w:before="320" w:after="160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b/>
          <w:bCs/>
          <w:color w:val="1F4E79"/>
          <w:sz w:val="27"/>
          <w:szCs w:val="27"/>
          <w:lang w:val="it-IT"/>
        </w:rPr>
        <w:t>5. La formazione dei responsabili</w:t>
      </w:r>
    </w:p>
    <w:p w:rsidR="0038481A" w:rsidRPr="003C5F61" w:rsidRDefault="00F7683D">
      <w:pPr>
        <w:spacing w:after="200" w:line="320" w:lineRule="auto"/>
        <w:jc w:val="both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Perché il lavoro pastorale con i giovani sia efficace e credibile, è necessario investire nella formazione dei responsabili, affinché siano costantemente aggiornati sulle dinamiche, i linguaggi e le sfide del mondo giovanile contemporaneo. Una formazione seria è la condizione perché l'incoraggiamento di cui al primo punto non resti solo un atteggiamento di buona volontà, ma diventi capacità concreta di accompagnamento.</w:t>
      </w:r>
    </w:p>
    <w:p w:rsidR="0038481A" w:rsidRPr="003C5F61" w:rsidRDefault="00F7683D">
      <w:pPr>
        <w:spacing w:after="200" w:line="320" w:lineRule="auto"/>
        <w:jc w:val="both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Si propone pertanto di strutturare momenti formativi periodici, anche in collegamento con le tematiche emerse al Capodanno a Re e con l'esperienza dei centri estivi, in modo che i responsabili possano crescere insieme, condividendo strumenti e buone pratiche.</w:t>
      </w:r>
    </w:p>
    <w:p w:rsidR="0038481A" w:rsidRPr="003C5F61" w:rsidRDefault="00F7683D">
      <w:pPr>
        <w:pStyle w:val="Titre1"/>
        <w:pBdr>
          <w:bottom w:val="single" w:sz="6" w:space="4" w:color="1F4E79"/>
        </w:pBdr>
        <w:spacing w:before="320" w:after="160"/>
        <w:rPr>
          <w:lang w:val="it-IT"/>
        </w:rPr>
      </w:pPr>
      <w:r w:rsidRPr="003C5F61">
        <w:rPr>
          <w:rFonts w:ascii="Palatino Linotype" w:eastAsia="Palatino Linotype" w:hAnsi="Palatino Linotype" w:cs="Palatino Linotype"/>
          <w:b/>
          <w:bCs/>
          <w:color w:val="1F4E79"/>
          <w:sz w:val="27"/>
          <w:szCs w:val="27"/>
          <w:lang w:val="it-IT"/>
        </w:rPr>
        <w:lastRenderedPageBreak/>
        <w:t>Conclusione</w:t>
      </w:r>
    </w:p>
    <w:p w:rsidR="0038481A" w:rsidRDefault="00F7683D">
      <w:pPr>
        <w:spacing w:after="200" w:line="320" w:lineRule="auto"/>
        <w:jc w:val="both"/>
        <w:rPr>
          <w:rFonts w:ascii="Palatino Linotype" w:eastAsia="Palatino Linotype" w:hAnsi="Palatino Linotype" w:cs="Palatino Linotype"/>
          <w:sz w:val="22"/>
          <w:szCs w:val="22"/>
          <w:lang w:val="it-IT"/>
        </w:rPr>
      </w:pPr>
      <w:r w:rsidRPr="003C5F61">
        <w:rPr>
          <w:rFonts w:ascii="Palatino Linotype" w:eastAsia="Palatino Linotype" w:hAnsi="Palatino Linotype" w:cs="Palatino Linotype"/>
          <w:sz w:val="22"/>
          <w:szCs w:val="22"/>
          <w:lang w:val="it-IT"/>
        </w:rPr>
        <w:t>Gli ambiti presentati — il consolidamento del gruppo pastorale, il rinnovamento del Capodanno a Re, la valorizzazione dei centri estivi, l'apertura alla Giornata Mondiale della Gioventù di Seoul e la formazione dei responsabili — non sono percorsi separati, ma tasselli di un unico cammino: quello di una pastorale giovanile che sa farsi compagna di viaggio dei giovani e di chi li accompagna, nello spirito di carità e di prossimità che il beato Luigi Novarese ci ha consegnato.</w:t>
      </w:r>
    </w:p>
    <w:p w:rsidR="000F0420" w:rsidRPr="000F0420" w:rsidRDefault="000F0420">
      <w:pPr>
        <w:spacing w:after="200" w:line="320" w:lineRule="auto"/>
        <w:jc w:val="both"/>
        <w:rPr>
          <w:rFonts w:ascii="Palatino Linotype" w:eastAsia="Palatino Linotype" w:hAnsi="Palatino Linotype" w:cs="Palatino Linotype"/>
          <w:b/>
          <w:sz w:val="22"/>
          <w:szCs w:val="22"/>
        </w:rPr>
      </w:pPr>
      <w:r w:rsidRPr="000F0420">
        <w:rPr>
          <w:rFonts w:ascii="Palatino Linotype" w:eastAsia="Palatino Linotype" w:hAnsi="Palatino Linotype" w:cs="Palatino Linotype"/>
          <w:b/>
          <w:sz w:val="22"/>
          <w:szCs w:val="22"/>
        </w:rPr>
        <w:t>Don Thierry Aimé TOMO, SODC</w:t>
      </w:r>
      <w:bookmarkStart w:id="0" w:name="_GoBack"/>
      <w:bookmarkEnd w:id="0"/>
    </w:p>
    <w:p w:rsidR="000F0420" w:rsidRPr="000F0420" w:rsidRDefault="000F0420">
      <w:pPr>
        <w:spacing w:after="200" w:line="320" w:lineRule="auto"/>
        <w:jc w:val="both"/>
        <w:rPr>
          <w:b/>
          <w:i/>
        </w:rPr>
      </w:pPr>
      <w:proofErr w:type="spellStart"/>
      <w:r w:rsidRPr="000F0420">
        <w:rPr>
          <w:rFonts w:ascii="Palatino Linotype" w:eastAsia="Palatino Linotype" w:hAnsi="Palatino Linotype" w:cs="Palatino Linotype"/>
          <w:b/>
          <w:i/>
          <w:sz w:val="22"/>
          <w:szCs w:val="22"/>
        </w:rPr>
        <w:t>Responsabile</w:t>
      </w:r>
      <w:proofErr w:type="spellEnd"/>
      <w:r w:rsidRPr="000F0420">
        <w:rPr>
          <w:rFonts w:ascii="Palatino Linotype" w:eastAsia="Palatino Linotype" w:hAnsi="Palatino Linotype" w:cs="Palatino Linotype"/>
          <w:b/>
          <w:i/>
          <w:sz w:val="22"/>
          <w:szCs w:val="22"/>
        </w:rPr>
        <w:t xml:space="preserve"> </w:t>
      </w:r>
      <w:proofErr w:type="spellStart"/>
      <w:r w:rsidRPr="000F0420">
        <w:rPr>
          <w:rFonts w:ascii="Palatino Linotype" w:eastAsia="Palatino Linotype" w:hAnsi="Palatino Linotype" w:cs="Palatino Linotype"/>
          <w:b/>
          <w:i/>
          <w:sz w:val="22"/>
          <w:szCs w:val="22"/>
        </w:rPr>
        <w:t>della</w:t>
      </w:r>
      <w:proofErr w:type="spellEnd"/>
      <w:r w:rsidRPr="000F0420">
        <w:rPr>
          <w:rFonts w:ascii="Palatino Linotype" w:eastAsia="Palatino Linotype" w:hAnsi="Palatino Linotype" w:cs="Palatino Linotype"/>
          <w:b/>
          <w:i/>
          <w:sz w:val="22"/>
          <w:szCs w:val="22"/>
        </w:rPr>
        <w:t xml:space="preserve"> pastorale </w:t>
      </w:r>
      <w:proofErr w:type="spellStart"/>
      <w:r w:rsidRPr="000F0420">
        <w:rPr>
          <w:rFonts w:ascii="Palatino Linotype" w:eastAsia="Palatino Linotype" w:hAnsi="Palatino Linotype" w:cs="Palatino Linotype"/>
          <w:b/>
          <w:i/>
          <w:sz w:val="22"/>
          <w:szCs w:val="22"/>
        </w:rPr>
        <w:t>Giovanile</w:t>
      </w:r>
      <w:proofErr w:type="spellEnd"/>
      <w:r w:rsidRPr="000F0420">
        <w:rPr>
          <w:rFonts w:ascii="Palatino Linotype" w:eastAsia="Palatino Linotype" w:hAnsi="Palatino Linotype" w:cs="Palatino Linotype"/>
          <w:b/>
          <w:i/>
          <w:sz w:val="22"/>
          <w:szCs w:val="22"/>
        </w:rPr>
        <w:t xml:space="preserve"> CVS</w:t>
      </w:r>
    </w:p>
    <w:sectPr w:rsidR="000F0420" w:rsidRPr="000F0420">
      <w:headerReference w:type="default" r:id="rId8"/>
      <w:footerReference w:type="default" r:id="rId9"/>
      <w:pgSz w:w="11906" w:h="16838"/>
      <w:pgMar w:top="1100" w:right="1200" w:bottom="11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D46" w:rsidRDefault="001D3D46">
      <w:r>
        <w:separator/>
      </w:r>
    </w:p>
  </w:endnote>
  <w:endnote w:type="continuationSeparator" w:id="0">
    <w:p w:rsidR="001D3D46" w:rsidRDefault="001D3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81A" w:rsidRDefault="00F7683D">
    <w:pPr>
      <w:jc w:val="center"/>
    </w:pPr>
    <w:r>
      <w:rPr>
        <w:rFonts w:ascii="Palatino Linotype" w:eastAsia="Palatino Linotype" w:hAnsi="Palatino Linotype" w:cs="Palatino Linotype"/>
        <w:color w:val="595959"/>
        <w:sz w:val="16"/>
        <w:szCs w:val="16"/>
      </w:rPr>
      <w:t xml:space="preserve">Pagina </w:t>
    </w:r>
    <w:r>
      <w:rPr>
        <w:rFonts w:ascii="Palatino Linotype" w:eastAsia="Palatino Linotype" w:hAnsi="Palatino Linotype" w:cs="Palatino Linotype"/>
        <w:color w:val="595959"/>
        <w:sz w:val="16"/>
        <w:szCs w:val="16"/>
      </w:rPr>
      <w:fldChar w:fldCharType="begin"/>
    </w:r>
    <w:r>
      <w:rPr>
        <w:rFonts w:ascii="Palatino Linotype" w:eastAsia="Palatino Linotype" w:hAnsi="Palatino Linotype" w:cs="Palatino Linotype"/>
        <w:color w:val="595959"/>
        <w:sz w:val="16"/>
        <w:szCs w:val="16"/>
      </w:rPr>
      <w:instrText>PAGE</w:instrText>
    </w:r>
    <w:r>
      <w:rPr>
        <w:rFonts w:ascii="Palatino Linotype" w:eastAsia="Palatino Linotype" w:hAnsi="Palatino Linotype" w:cs="Palatino Linotype"/>
        <w:color w:val="595959"/>
        <w:sz w:val="16"/>
        <w:szCs w:val="16"/>
      </w:rPr>
      <w:fldChar w:fldCharType="separate"/>
    </w:r>
    <w:r w:rsidR="000F0420">
      <w:rPr>
        <w:rFonts w:ascii="Palatino Linotype" w:eastAsia="Palatino Linotype" w:hAnsi="Palatino Linotype" w:cs="Palatino Linotype"/>
        <w:noProof/>
        <w:color w:val="595959"/>
        <w:sz w:val="16"/>
        <w:szCs w:val="16"/>
      </w:rPr>
      <w:t>3</w:t>
    </w:r>
    <w:r>
      <w:rPr>
        <w:rFonts w:ascii="Palatino Linotype" w:eastAsia="Palatino Linotype" w:hAnsi="Palatino Linotype" w:cs="Palatino Linotype"/>
        <w:color w:val="595959"/>
        <w:sz w:val="16"/>
        <w:szCs w:val="16"/>
      </w:rPr>
      <w:fldChar w:fldCharType="end"/>
    </w:r>
    <w:r>
      <w:rPr>
        <w:rFonts w:ascii="Palatino Linotype" w:eastAsia="Palatino Linotype" w:hAnsi="Palatino Linotype" w:cs="Palatino Linotype"/>
        <w:color w:val="595959"/>
        <w:sz w:val="16"/>
        <w:szCs w:val="16"/>
      </w:rPr>
      <w:t xml:space="preserve"> di </w:t>
    </w:r>
    <w:r>
      <w:rPr>
        <w:rFonts w:ascii="Palatino Linotype" w:eastAsia="Palatino Linotype" w:hAnsi="Palatino Linotype" w:cs="Palatino Linotype"/>
        <w:color w:val="595959"/>
        <w:sz w:val="16"/>
        <w:szCs w:val="16"/>
      </w:rPr>
      <w:fldChar w:fldCharType="begin"/>
    </w:r>
    <w:r>
      <w:rPr>
        <w:rFonts w:ascii="Palatino Linotype" w:eastAsia="Palatino Linotype" w:hAnsi="Palatino Linotype" w:cs="Palatino Linotype"/>
        <w:color w:val="595959"/>
        <w:sz w:val="16"/>
        <w:szCs w:val="16"/>
      </w:rPr>
      <w:instrText>NUMPAGES</w:instrText>
    </w:r>
    <w:r>
      <w:rPr>
        <w:rFonts w:ascii="Palatino Linotype" w:eastAsia="Palatino Linotype" w:hAnsi="Palatino Linotype" w:cs="Palatino Linotype"/>
        <w:color w:val="595959"/>
        <w:sz w:val="16"/>
        <w:szCs w:val="16"/>
      </w:rPr>
      <w:fldChar w:fldCharType="separate"/>
    </w:r>
    <w:r w:rsidR="000F0420">
      <w:rPr>
        <w:rFonts w:ascii="Palatino Linotype" w:eastAsia="Palatino Linotype" w:hAnsi="Palatino Linotype" w:cs="Palatino Linotype"/>
        <w:noProof/>
        <w:color w:val="595959"/>
        <w:sz w:val="16"/>
        <w:szCs w:val="16"/>
      </w:rPr>
      <w:t>3</w:t>
    </w:r>
    <w:r>
      <w:rPr>
        <w:rFonts w:ascii="Palatino Linotype" w:eastAsia="Palatino Linotype" w:hAnsi="Palatino Linotype" w:cs="Palatino Linotype"/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D46" w:rsidRDefault="001D3D46">
      <w:r>
        <w:separator/>
      </w:r>
    </w:p>
  </w:footnote>
  <w:footnote w:type="continuationSeparator" w:id="0">
    <w:p w:rsidR="001D3D46" w:rsidRDefault="001D3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81A" w:rsidRPr="003C5F61" w:rsidRDefault="00F7683D">
    <w:pPr>
      <w:pBdr>
        <w:bottom w:val="single" w:sz="4" w:space="4" w:color="BFBFBF"/>
      </w:pBdr>
      <w:jc w:val="center"/>
      <w:rPr>
        <w:lang w:val="it-IT"/>
      </w:rPr>
    </w:pPr>
    <w:r w:rsidRPr="003C5F61">
      <w:rPr>
        <w:rFonts w:ascii="Palatino Linotype" w:eastAsia="Palatino Linotype" w:hAnsi="Palatino Linotype" w:cs="Palatino Linotype"/>
        <w:i/>
        <w:iCs/>
        <w:color w:val="595959"/>
        <w:sz w:val="16"/>
        <w:szCs w:val="16"/>
        <w:lang w:val="it-IT"/>
      </w:rPr>
      <w:t>Centro Volontari della Sofferenza — Pastorale Giovanile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F5CEE"/>
    <w:multiLevelType w:val="hybridMultilevel"/>
    <w:tmpl w:val="CF78C9D6"/>
    <w:lvl w:ilvl="0" w:tplc="B9E63CBC">
      <w:start w:val="1"/>
      <w:numFmt w:val="bullet"/>
      <w:lvlText w:val="●"/>
      <w:lvlJc w:val="left"/>
      <w:pPr>
        <w:ind w:left="720" w:hanging="360"/>
      </w:pPr>
    </w:lvl>
    <w:lvl w:ilvl="1" w:tplc="6B38C796">
      <w:start w:val="1"/>
      <w:numFmt w:val="bullet"/>
      <w:lvlText w:val="○"/>
      <w:lvlJc w:val="left"/>
      <w:pPr>
        <w:ind w:left="1440" w:hanging="360"/>
      </w:pPr>
    </w:lvl>
    <w:lvl w:ilvl="2" w:tplc="507AB878">
      <w:start w:val="1"/>
      <w:numFmt w:val="bullet"/>
      <w:lvlText w:val="■"/>
      <w:lvlJc w:val="left"/>
      <w:pPr>
        <w:ind w:left="2160" w:hanging="360"/>
      </w:pPr>
    </w:lvl>
    <w:lvl w:ilvl="3" w:tplc="84A8808E">
      <w:start w:val="1"/>
      <w:numFmt w:val="bullet"/>
      <w:lvlText w:val="●"/>
      <w:lvlJc w:val="left"/>
      <w:pPr>
        <w:ind w:left="2880" w:hanging="360"/>
      </w:pPr>
    </w:lvl>
    <w:lvl w:ilvl="4" w:tplc="401A8CC4">
      <w:start w:val="1"/>
      <w:numFmt w:val="bullet"/>
      <w:lvlText w:val="○"/>
      <w:lvlJc w:val="left"/>
      <w:pPr>
        <w:ind w:left="3600" w:hanging="360"/>
      </w:pPr>
    </w:lvl>
    <w:lvl w:ilvl="5" w:tplc="CCEE5ED8">
      <w:start w:val="1"/>
      <w:numFmt w:val="bullet"/>
      <w:lvlText w:val="■"/>
      <w:lvlJc w:val="left"/>
      <w:pPr>
        <w:ind w:left="4320" w:hanging="360"/>
      </w:pPr>
    </w:lvl>
    <w:lvl w:ilvl="6" w:tplc="0B6A6618">
      <w:start w:val="1"/>
      <w:numFmt w:val="bullet"/>
      <w:lvlText w:val="●"/>
      <w:lvlJc w:val="left"/>
      <w:pPr>
        <w:ind w:left="5040" w:hanging="360"/>
      </w:pPr>
    </w:lvl>
    <w:lvl w:ilvl="7" w:tplc="32F409C6">
      <w:start w:val="1"/>
      <w:numFmt w:val="bullet"/>
      <w:lvlText w:val="●"/>
      <w:lvlJc w:val="left"/>
      <w:pPr>
        <w:ind w:left="5760" w:hanging="360"/>
      </w:pPr>
    </w:lvl>
    <w:lvl w:ilvl="8" w:tplc="533E09C4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B717347"/>
    <w:multiLevelType w:val="hybridMultilevel"/>
    <w:tmpl w:val="795AFFDA"/>
    <w:lvl w:ilvl="0" w:tplc="FDF66A60">
      <w:start w:val="1"/>
      <w:numFmt w:val="bullet"/>
      <w:lvlText w:val="•"/>
      <w:lvlJc w:val="left"/>
      <w:pPr>
        <w:ind w:left="420" w:hanging="260"/>
      </w:pPr>
    </w:lvl>
    <w:lvl w:ilvl="1" w:tplc="6E9E4728">
      <w:numFmt w:val="decimal"/>
      <w:lvlText w:val=""/>
      <w:lvlJc w:val="left"/>
    </w:lvl>
    <w:lvl w:ilvl="2" w:tplc="571AEC3C">
      <w:numFmt w:val="decimal"/>
      <w:lvlText w:val=""/>
      <w:lvlJc w:val="left"/>
    </w:lvl>
    <w:lvl w:ilvl="3" w:tplc="5C2ED474">
      <w:numFmt w:val="decimal"/>
      <w:lvlText w:val=""/>
      <w:lvlJc w:val="left"/>
    </w:lvl>
    <w:lvl w:ilvl="4" w:tplc="14CC2F74">
      <w:numFmt w:val="decimal"/>
      <w:lvlText w:val=""/>
      <w:lvlJc w:val="left"/>
    </w:lvl>
    <w:lvl w:ilvl="5" w:tplc="007E6312">
      <w:numFmt w:val="decimal"/>
      <w:lvlText w:val=""/>
      <w:lvlJc w:val="left"/>
    </w:lvl>
    <w:lvl w:ilvl="6" w:tplc="180E3832">
      <w:numFmt w:val="decimal"/>
      <w:lvlText w:val=""/>
      <w:lvlJc w:val="left"/>
    </w:lvl>
    <w:lvl w:ilvl="7" w:tplc="480EB854">
      <w:numFmt w:val="decimal"/>
      <w:lvlText w:val=""/>
      <w:lvlJc w:val="left"/>
    </w:lvl>
    <w:lvl w:ilvl="8" w:tplc="162E28D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8481A"/>
    <w:rsid w:val="000F0420"/>
    <w:rsid w:val="0017230D"/>
    <w:rsid w:val="001D3D46"/>
    <w:rsid w:val="0038481A"/>
    <w:rsid w:val="003C5F61"/>
    <w:rsid w:val="00F7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qFormat/>
    <w:pPr>
      <w:outlineLvl w:val="3"/>
    </w:pPr>
    <w:rPr>
      <w:i/>
      <w:iCs/>
      <w:color w:val="2E74B5"/>
    </w:rPr>
  </w:style>
  <w:style w:type="paragraph" w:styleId="Titre5">
    <w:name w:val="heading 5"/>
    <w:qFormat/>
    <w:pPr>
      <w:outlineLvl w:val="4"/>
    </w:pPr>
    <w:rPr>
      <w:color w:val="2E74B5"/>
    </w:rPr>
  </w:style>
  <w:style w:type="paragraph" w:styleId="Titre6">
    <w:name w:val="heading 6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qFormat/>
    <w:pPr>
      <w:outlineLvl w:val="3"/>
    </w:pPr>
    <w:rPr>
      <w:i/>
      <w:iCs/>
      <w:color w:val="2E74B5"/>
    </w:rPr>
  </w:style>
  <w:style w:type="paragraph" w:styleId="Titre5">
    <w:name w:val="heading 5"/>
    <w:qFormat/>
    <w:pPr>
      <w:outlineLvl w:val="4"/>
    </w:pPr>
    <w:rPr>
      <w:color w:val="2E74B5"/>
    </w:rPr>
  </w:style>
  <w:style w:type="paragraph" w:styleId="Titre6">
    <w:name w:val="heading 6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844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TOMO Thierry Aimé</cp:lastModifiedBy>
  <cp:revision>3</cp:revision>
  <dcterms:created xsi:type="dcterms:W3CDTF">2026-09-12T07:27:00Z</dcterms:created>
  <dcterms:modified xsi:type="dcterms:W3CDTF">2026-09-21T07:54:00Z</dcterms:modified>
</cp:coreProperties>
</file>